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lang w:eastAsia="zh-CN"/>
        </w:rPr>
      </w:pPr>
      <w:r>
        <w:rPr>
          <w:rFonts w:hint="eastAsia" w:eastAsia="黑体"/>
          <w:lang w:eastAsia="zh-CN"/>
        </w:rPr>
        <w:t>会议记录</w:t>
      </w:r>
      <w:bookmarkStart w:id="0" w:name="_GoBack"/>
      <w:bookmarkEnd w:id="0"/>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604"/>
        <w:gridCol w:w="6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rPr>
                <w:rFonts w:hint="eastAsia" w:eastAsia="宋体"/>
                <w:lang w:val="en-US" w:eastAsia="zh-CN"/>
              </w:rPr>
            </w:pPr>
            <w:r>
              <w:rPr>
                <w:rFonts w:hint="eastAsia"/>
                <w:lang w:val="en-US" w:eastAsia="zh-CN"/>
              </w:rPr>
              <w:t>1</w:t>
            </w:r>
          </w:p>
        </w:tc>
        <w:tc>
          <w:tcPr>
            <w:tcW w:w="1604" w:type="dxa"/>
            <w:shd w:val="clear" w:color="auto" w:fill="FFFFFF" w:themeFill="background1"/>
          </w:tcPr>
          <w:p>
            <w:pPr>
              <w:rPr>
                <w:rFonts w:hint="eastAsia" w:ascii="楷体_GB2312" w:eastAsia="楷体_GB2312"/>
              </w:rPr>
            </w:pPr>
            <w:r>
              <w:rPr>
                <w:rFonts w:ascii="楷体_GB2312" w:eastAsia="楷体_GB2312"/>
              </w:rPr>
              <w:t>项目</w:t>
            </w:r>
          </w:p>
        </w:tc>
        <w:tc>
          <w:tcPr>
            <w:tcW w:w="6444" w:type="dxa"/>
            <w:shd w:val="clear" w:color="auto" w:fill="FFFFFF" w:themeFill="background1"/>
          </w:tcPr>
          <w:p>
            <w:pP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tc>
        <w:tc>
          <w:tcPr>
            <w:tcW w:w="1604" w:type="dxa"/>
            <w:shd w:val="clear" w:color="auto" w:fill="FFFFFF" w:themeFill="background1"/>
          </w:tcPr>
          <w:p>
            <w:pPr>
              <w:rPr>
                <w:rFonts w:hint="eastAsia" w:ascii="楷体_GB2312" w:eastAsia="楷体_GB2312"/>
              </w:rPr>
            </w:pPr>
            <w:r>
              <w:rPr>
                <w:rFonts w:hint="eastAsia" w:ascii="楷体_GB2312" w:eastAsia="楷体_GB2312"/>
              </w:rPr>
              <w:t>受理号</w:t>
            </w:r>
          </w:p>
        </w:tc>
        <w:tc>
          <w:tcPr>
            <w:tcW w:w="6444" w:type="dxa"/>
            <w:shd w:val="clear" w:color="auto" w:fill="FFFFFF" w:themeFill="background1"/>
          </w:tcPr>
          <w:p>
            <w:pP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tc>
        <w:tc>
          <w:tcPr>
            <w:tcW w:w="1604" w:type="dxa"/>
            <w:shd w:val="clear" w:color="auto" w:fill="FFFFFF" w:themeFill="background1"/>
          </w:tcPr>
          <w:p>
            <w:pPr>
              <w:rPr>
                <w:rFonts w:hint="eastAsia" w:ascii="楷体_GB2312" w:eastAsia="楷体_GB2312"/>
              </w:rPr>
            </w:pPr>
            <w:r>
              <w:rPr>
                <w:rFonts w:hint="eastAsia" w:ascii="楷体_GB2312" w:eastAsia="楷体_GB2312"/>
              </w:rPr>
              <w:t>机构角色</w:t>
            </w:r>
          </w:p>
        </w:tc>
        <w:tc>
          <w:tcPr>
            <w:tcW w:w="6444" w:type="dxa"/>
            <w:shd w:val="clear" w:color="auto" w:fill="FFFFFF" w:themeFill="background1"/>
          </w:tcPr>
          <w:p>
            <w:pPr>
              <w:rPr>
                <w:rFonts w:hint="eastAsia" w:ascii="楷体_GB2312" w:eastAsia="楷体_GB2312"/>
              </w:rPr>
            </w:pPr>
            <w:r>
              <w:rPr>
                <w:rFonts w:hint="eastAsia" w:ascii="楷体_GB2312" w:eastAsia="楷体_GB2312"/>
              </w:rPr>
              <w:t>参加单位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tcPr>
          <w:p>
            <w:pPr>
              <w:rPr>
                <w:rFonts w:hint="eastAsia"/>
              </w:rPr>
            </w:pPr>
          </w:p>
        </w:tc>
        <w:tc>
          <w:tcPr>
            <w:tcW w:w="1604" w:type="dxa"/>
            <w:shd w:val="clear" w:color="auto" w:fill="FFFFFF" w:themeFill="background1"/>
          </w:tcPr>
          <w:p>
            <w:pPr>
              <w:rPr>
                <w:rFonts w:hint="eastAsia" w:ascii="楷体_GB2312" w:eastAsia="楷体_GB2312"/>
              </w:rPr>
            </w:pPr>
            <w:r>
              <w:rPr>
                <w:rFonts w:ascii="楷体_GB2312" w:eastAsia="楷体_GB2312"/>
              </w:rPr>
              <w:t>主要研究者</w:t>
            </w:r>
          </w:p>
        </w:tc>
        <w:tc>
          <w:tcPr>
            <w:tcW w:w="6444" w:type="dxa"/>
            <w:shd w:val="clear" w:color="auto" w:fill="FFFFFF" w:themeFill="background1"/>
          </w:tcPr>
          <w:p>
            <w:pP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rPr>
                <w:rFonts w:hint="eastAsia"/>
              </w:rPr>
            </w:pPr>
          </w:p>
        </w:tc>
        <w:tc>
          <w:tcPr>
            <w:tcW w:w="1604" w:type="dxa"/>
            <w:shd w:val="clear" w:color="auto" w:fill="FFFFFF" w:themeFill="background1"/>
          </w:tcPr>
          <w:p>
            <w:pPr>
              <w:rPr>
                <w:rFonts w:hint="eastAsia" w:ascii="楷体_GB2312" w:eastAsia="楷体_GB2312"/>
              </w:rPr>
            </w:pPr>
            <w:r>
              <w:rPr>
                <w:rFonts w:ascii="楷体_GB2312" w:eastAsia="楷体_GB2312"/>
              </w:rPr>
              <w:t>主审委员</w:t>
            </w:r>
          </w:p>
        </w:tc>
        <w:tc>
          <w:tcPr>
            <w:tcW w:w="6444" w:type="dxa"/>
            <w:shd w:val="clear" w:color="auto" w:fill="FFFFFF" w:themeFill="background1"/>
          </w:tcPr>
          <w:p>
            <w:pPr>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0" w:type="dxa"/>
          </w:tcPr>
          <w:p>
            <w:pPr>
              <w:rPr>
                <w:rFonts w:hint="eastAsia"/>
              </w:rPr>
            </w:pPr>
          </w:p>
        </w:tc>
        <w:tc>
          <w:tcPr>
            <w:tcW w:w="1604" w:type="dxa"/>
            <w:shd w:val="clear" w:color="auto" w:fill="FFFFFF" w:themeFill="background1"/>
          </w:tcPr>
          <w:p>
            <w:pPr>
              <w:rPr>
                <w:rFonts w:hint="eastAsia" w:hAnsi="宋体"/>
              </w:rPr>
            </w:pPr>
            <w:r>
              <w:rPr>
                <w:rFonts w:hint="eastAsia" w:hAnsi="宋体"/>
              </w:rPr>
              <w:t>独立顾问</w:t>
            </w:r>
          </w:p>
        </w:tc>
        <w:tc>
          <w:tcPr>
            <w:tcW w:w="6444" w:type="dxa"/>
            <w:shd w:val="clear" w:color="auto" w:fill="FFFFFF" w:themeFill="background1"/>
          </w:tcPr>
          <w:p>
            <w:pPr>
              <w:rPr>
                <w:rFonts w:hint="eastAsia" w:ascii="楷体_GB2312" w:eastAsia="楷体_GB2312"/>
              </w:rPr>
            </w:pPr>
            <w:r>
              <w:rPr>
                <w:rFonts w:hint="eastAsia" w:ascii="楷体_GB2312" w:eastAsia="楷体_GB2312"/>
              </w:rPr>
              <w:t>无</w:t>
            </w:r>
          </w:p>
        </w:tc>
      </w:tr>
    </w:tbl>
    <w:p>
      <w:pPr>
        <w:rPr>
          <w:rFonts w:hint="eastAsia" w:ascii="楷体" w:hAnsi="楷体" w:eastAsia="楷体" w:cs="楷体"/>
          <w:lang w:eastAsia="zh-CN"/>
        </w:rPr>
      </w:pPr>
      <w:r>
        <w:rPr>
          <w:rFonts w:hint="eastAsia" w:ascii="楷体" w:hAnsi="楷体" w:eastAsia="楷体" w:cs="楷体"/>
          <w:lang w:eastAsia="zh-CN"/>
        </w:rPr>
        <w:t>审查记录</w:t>
      </w:r>
    </w:p>
    <w:tbl>
      <w:tblPr>
        <w:tblStyle w:val="11"/>
        <w:tblW w:w="855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ascii="楷体_GB2312" w:eastAsia="楷体_GB2312"/>
                <w:color w:val="000000"/>
                <w:sz w:val="21"/>
                <w:szCs w:val="21"/>
                <w:lang w:val="en-US" w:eastAsia="zh-CN"/>
              </w:rPr>
            </w:pPr>
            <w:r>
              <w:rPr>
                <w:rFonts w:hint="eastAsia" w:ascii="楷体_GB2312" w:eastAsia="楷体_GB2312"/>
                <w:sz w:val="21"/>
                <w:szCs w:val="21"/>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ascii="楷体_GB2312" w:eastAsia="楷体_GB2312"/>
                <w:color w:val="000000"/>
                <w:sz w:val="21"/>
                <w:szCs w:val="21"/>
                <w:lang w:val="en-US" w:eastAsia="zh-CN"/>
              </w:rPr>
            </w:pPr>
            <w:r>
              <w:rPr>
                <w:rFonts w:hint="eastAsia" w:ascii="楷体_GB2312" w:eastAsia="楷体_GB2312"/>
                <w:color w:val="auto"/>
                <w:sz w:val="21"/>
                <w:szCs w:val="21"/>
                <w:highlight w:val="green"/>
                <w:lang w:val="en-US" w:eastAsia="zh-CN"/>
              </w:rPr>
              <w:t>主研报告主要内容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7" w:type="dxa"/>
            <w:noWrap w:val="0"/>
            <w:vAlign w:val="top"/>
          </w:tcPr>
          <w:p>
            <w:pPr>
              <w:rPr>
                <w:rFonts w:hint="eastAsia"/>
                <w:sz w:val="21"/>
                <w:szCs w:val="21"/>
              </w:rPr>
            </w:pPr>
            <w:r>
              <w:rPr>
                <w:rFonts w:hint="eastAsia" w:ascii="楷体_GB2312" w:eastAsia="楷体_GB2312"/>
                <w:sz w:val="21"/>
                <w:szCs w:val="21"/>
                <w:lang w:val="en-US" w:eastAsia="zh-CN"/>
              </w:rPr>
              <w:t>提问与答疑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会议记录，例如：</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xxx问：   </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xxx回：</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xxx问：   </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xxx回：</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xxx问：   </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xxx回：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sz w:val="21"/>
                <w:szCs w:val="21"/>
              </w:rPr>
            </w:pPr>
            <w:r>
              <w:rPr>
                <w:rFonts w:hint="eastAsia" w:ascii="楷体_GB2312" w:eastAsia="楷体_GB2312"/>
                <w:sz w:val="21"/>
                <w:szCs w:val="21"/>
                <w:lang w:val="en-US" w:eastAsia="zh-CN"/>
              </w:rPr>
              <w:t>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ascii="宋体" w:hAnsi="宋体" w:cs="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eastAsia="黑体"/>
                <w:sz w:val="21"/>
                <w:szCs w:val="21"/>
              </w:rPr>
            </w:pPr>
            <w:r>
              <w:rPr>
                <w:rFonts w:hint="eastAsia" w:ascii="楷体_GB2312" w:eastAsia="楷体_GB2312"/>
                <w:sz w:val="21"/>
                <w:szCs w:val="21"/>
                <w:lang w:val="en-US" w:eastAsia="zh-CN"/>
              </w:rPr>
              <w:t>投票意见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ind w:left="420"/>
              <w:rPr>
                <w:rFonts w:hint="eastAsia" w:eastAsia="宋体"/>
                <w:sz w:val="21"/>
                <w:szCs w:val="21"/>
                <w:lang w:val="en-US" w:eastAsia="zh-CN"/>
              </w:rPr>
            </w:pPr>
            <w:r>
              <w:rPr>
                <w:rFonts w:hint="eastAsia"/>
                <w:sz w:val="21"/>
                <w:szCs w:val="21"/>
                <w:lang w:val="en-US" w:eastAsia="zh-CN"/>
              </w:rPr>
              <w:t>不用填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eastAsia="黑体"/>
                <w:sz w:val="21"/>
                <w:szCs w:val="21"/>
              </w:rPr>
            </w:pPr>
            <w:r>
              <w:rPr>
                <w:rFonts w:hint="eastAsia" w:ascii="楷体_GB2312" w:eastAsia="楷体_GB2312"/>
                <w:sz w:val="21"/>
                <w:szCs w:val="21"/>
                <w:lang w:val="en-US" w:eastAsia="zh-CN"/>
              </w:rPr>
              <w:t>审查决定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ind w:left="420"/>
              <w:rPr>
                <w:rFonts w:hint="eastAsia" w:eastAsia="黑体"/>
                <w:sz w:val="21"/>
                <w:szCs w:val="21"/>
                <w:lang w:eastAsia="zh-CN"/>
              </w:rPr>
            </w:pPr>
            <w:r>
              <w:rPr>
                <w:rFonts w:hint="eastAsia" w:eastAsia="黑体"/>
                <w:sz w:val="21"/>
                <w:szCs w:val="21"/>
                <w:lang w:eastAsia="zh-CN"/>
              </w:rPr>
              <w:t>不用填</w:t>
            </w:r>
          </w:p>
        </w:tc>
      </w:tr>
    </w:tbl>
    <w:p>
      <w:pPr>
        <w:rPr>
          <w:rFonts w:hint="eastAsia" w:ascii="楷体" w:hAnsi="楷体" w:eastAsia="楷体" w:cs="楷体"/>
          <w:color w:val="C0504D" w:themeColor="accent2"/>
          <w:sz w:val="30"/>
          <w:szCs w:val="30"/>
          <w:lang w:eastAsia="zh-CN"/>
          <w14:textFill>
            <w14:solidFill>
              <w14:schemeClr w14:val="accent2"/>
            </w14:solidFill>
          </w14:textFill>
        </w:rPr>
      </w:pPr>
      <w:r>
        <w:rPr>
          <w:rFonts w:hint="eastAsia" w:ascii="楷体" w:hAnsi="楷体" w:eastAsia="楷体" w:cs="楷体"/>
          <w:color w:val="C0504D" w:themeColor="accent2"/>
          <w:sz w:val="30"/>
          <w:szCs w:val="30"/>
          <w:lang w:eastAsia="zh-CN"/>
          <w14:textFill>
            <w14:solidFill>
              <w14:schemeClr w14:val="accent2"/>
            </w14:solidFill>
          </w14:textFill>
        </w:rPr>
        <w:t>例如：</w:t>
      </w:r>
    </w:p>
    <w:tbl>
      <w:tblPr>
        <w:tblStyle w:val="11"/>
        <w:tblW w:w="8557"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ascii="楷体_GB2312" w:eastAsia="楷体_GB2312"/>
                <w:color w:val="000000"/>
                <w:sz w:val="21"/>
                <w:szCs w:val="21"/>
                <w:lang w:val="en-US" w:eastAsia="zh-CN"/>
              </w:rPr>
            </w:pPr>
            <w:r>
              <w:rPr>
                <w:rFonts w:hint="eastAsia" w:ascii="楷体_GB2312" w:eastAsia="楷体_GB2312"/>
                <w:sz w:val="21"/>
                <w:szCs w:val="21"/>
                <w:lang w:val="en-US" w:eastAsia="zh-CN"/>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 xml:space="preserve">张晓菊报告 </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这是一个多中心、随机、平行对照临床研究，评价上海潓美医疗科技有限公司研制的氢氧气雾化机，用于2019新型冠状病毒感染的肺炎患者的辅助治疗，以期改善临床症状、降低重型肺炎发生率的有效性和安全性。</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入选标准为： 符合《新型冠状病毒感染的肺炎诊疗方案（试行第五版）》诊断标准的普通-重型之间的住院患者，即在满足普通型诊断标准的前提下再满足以下三个条件之一：a)呼吸频率（RR）：20-30 次/分；b)吸空气静息状态下，外周氧饱和度：93-95%；c)动脉血氧分压（PaO2）/吸氧浓度（FiO2）：300-400mmHg（1mmHg=0.133kPa）。年龄≥18岁且≤85岁，有正常自主判断能力的患者。                     </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符合本次研究条件的受试者将按1:1随机分为研究组和对照组，除了根据病情给予相应治疗外，研究组在治疗期间每天使用研究器械—上海潓美医疗科技有限公司生产的氢氧气雾化机（AMS-H-03）吸入氢/氧气混合气体（氢气浓度66%，氧气浓度33%），流量6L/min，每天治疗时间累计不小于6小时，其余合并治疗根据临床需要由研究者决定；对照组在治疗期间每天使用对照器械—美国伟康公司生产的EverFlo型制氧机，流量2L/min，每天治疗时间累计不小于6小时，其余合并治疗根据临床需要由研究者决定。治疗时需监测外周血氧饱和度，必要时增加吸氧浓度。研究组吸氢氧气时若氧气浓度不足可接受其他设备供氧。治疗期每天治疗结束并停止吸氧或氢氧气30分钟后，静息状态下测定氧饱和度和呼吸频率。</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在治疗过程中，受试者可能会出现不适感、呼吸不顺畅等轻度不良反应。这些不良反应将在治疗停止后缓解。研究过程中发生的任何风险，研究者均会根据您的具体情况，及时给予正确合理的医疗处理。</w:t>
            </w:r>
          </w:p>
          <w:p>
            <w:pPr>
              <w:jc w:val="left"/>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受益方面：您的病情可能获得改善，在研究期间您可以获知更多的患病相关信息，并及时知晓疾病发展和进展情况。您可以免费使用本次研究用医疗器械，以及与研究相关的检查和治疗。氢氧气雾化机如在本次研究中表现出积极的辅助作用，可能会加速该医疗器械的后续临床应用并有效改善2019-nCoV患者临床症状、降低重型肺炎发生率。从该项研究中获得的重要信息可能会对未来使用此类器械的患者及医务人员提供信息，有助于增加自身或其他患者治疗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57" w:type="dxa"/>
            <w:noWrap w:val="0"/>
            <w:vAlign w:val="top"/>
          </w:tcPr>
          <w:p>
            <w:pPr>
              <w:rPr>
                <w:rFonts w:hint="eastAsia"/>
                <w:sz w:val="21"/>
                <w:szCs w:val="21"/>
              </w:rPr>
            </w:pPr>
            <w:r>
              <w:rPr>
                <w:rFonts w:hint="eastAsia" w:ascii="楷体_GB2312" w:eastAsia="楷体_GB2312"/>
                <w:sz w:val="21"/>
                <w:szCs w:val="21"/>
                <w:lang w:val="en-US" w:eastAsia="zh-CN"/>
              </w:rPr>
              <w:t>提问与答疑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杨玉秀：对照组用2升，试验组6升，为什么不一样呢？</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张菊新：试验器械氢氧化物及的使用程序需要备注一下。</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史大鹏：临床上治疗的效果到底如何？指南上有吗？相关检查的费用和补助应详细说明。</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张伟：可替代治疗的方法应该详细写出。试验过程中，免费项目不要和医保重叠，不能出现套保问题，对受试者的补偿应该写清楚。</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李磊：版本应该用省人民医院的版本。氢氧化雾机存在一定的安全问题，应该怎么解决。</w:t>
            </w:r>
          </w:p>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申办方：好的老师，问题记下来了，我们会按要求修改。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sz w:val="21"/>
                <w:szCs w:val="21"/>
              </w:rPr>
            </w:pPr>
            <w:r>
              <w:rPr>
                <w:rFonts w:hint="eastAsia" w:ascii="楷体_GB2312" w:eastAsia="楷体_GB2312"/>
                <w:sz w:val="21"/>
                <w:szCs w:val="21"/>
                <w:lang w:val="en-US" w:eastAsia="zh-CN"/>
              </w:rPr>
              <w:t xml:space="preserve">   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补偿问题，与医保重叠的费用需要说明，不能存在套用医保费用情况。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hint="eastAsia" w:eastAsia="黑体"/>
                <w:sz w:val="21"/>
                <w:szCs w:val="21"/>
              </w:rPr>
            </w:pPr>
            <w:r>
              <w:rPr>
                <w:rFonts w:hint="eastAsia" w:ascii="楷体_GB2312" w:eastAsia="楷体_GB2312"/>
                <w:sz w:val="21"/>
                <w:szCs w:val="21"/>
                <w:lang w:val="en-US" w:eastAsia="zh-CN"/>
              </w:rPr>
              <w:t>投票意见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ind w:left="420"/>
              <w:rPr>
                <w:rFonts w:hint="eastAsia" w:eastAsia="宋体"/>
                <w:sz w:val="21"/>
                <w:szCs w:val="21"/>
                <w:lang w:val="en-US" w:eastAsia="zh-CN"/>
              </w:rPr>
            </w:pPr>
            <w:r>
              <w:rPr>
                <w:rFonts w:hint="eastAsia"/>
                <w:sz w:val="21"/>
                <w:szCs w:val="21"/>
                <w:lang w:val="en-US" w:eastAsia="zh-CN"/>
              </w:rPr>
              <w:t>11票作必要修正后同意。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rPr>
                <w:rFonts w:eastAsia="黑体"/>
                <w:sz w:val="21"/>
                <w:szCs w:val="21"/>
              </w:rPr>
            </w:pPr>
            <w:r>
              <w:rPr>
                <w:rFonts w:hint="eastAsia" w:ascii="楷体_GB2312" w:eastAsia="楷体_GB2312"/>
                <w:sz w:val="21"/>
                <w:szCs w:val="21"/>
                <w:lang w:val="en-US" w:eastAsia="zh-CN"/>
              </w:rPr>
              <w:t>审查决定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7" w:type="dxa"/>
            <w:noWrap w:val="0"/>
            <w:vAlign w:val="top"/>
          </w:tcPr>
          <w:p>
            <w:pPr>
              <w:ind w:left="420"/>
              <w:rPr>
                <w:rFonts w:hint="eastAsia" w:eastAsia="黑体"/>
                <w:sz w:val="21"/>
                <w:szCs w:val="21"/>
                <w:lang w:eastAsia="zh-CN"/>
              </w:rPr>
            </w:pPr>
            <w:r>
              <w:rPr>
                <w:rFonts w:hint="eastAsia" w:eastAsia="黑体"/>
                <w:sz w:val="21"/>
                <w:szCs w:val="21"/>
                <w:lang w:eastAsia="zh-CN"/>
              </w:rPr>
              <w:t>做必要修正后同意</w:t>
            </w:r>
          </w:p>
        </w:tc>
      </w:tr>
    </w:tbl>
    <w:p/>
    <w:sectPr>
      <w:headerReference r:id="rId3" w:type="default"/>
      <w:footerReference r:id="rId4" w:type="default"/>
      <w:footerReference r:id="rId5" w:type="even"/>
      <w:pgSz w:w="11906" w:h="16838"/>
      <w:pgMar w:top="1440" w:right="1797" w:bottom="1440" w:left="1797" w:header="851" w:footer="992" w:gutter="0"/>
      <w:cols w:space="720" w:num="1"/>
      <w:docGrid w:type="linesAndChars" w:linePitch="387" w:charSpace="-4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kern w:val="0"/>
        <w:szCs w:val="21"/>
      </w:rPr>
      <w:t>14</w:t>
    </w:r>
    <w:r>
      <w:rPr>
        <w:kern w:val="0"/>
        <w:szCs w:val="21"/>
      </w:rPr>
      <w:fldChar w:fldCharType="end"/>
    </w:r>
    <w:r>
      <w:rPr>
        <w:kern w:val="0"/>
        <w:szCs w:val="21"/>
      </w:rPr>
      <w:t xml:space="preserve"> </w:t>
    </w:r>
    <w:r>
      <w:rPr>
        <w:rFonts w:hint="eastAsia"/>
        <w:kern w:val="0"/>
        <w:szCs w:val="21"/>
      </w:rPr>
      <w:t>页</w:t>
    </w:r>
  </w:p>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hint="eastAsia"/>
      </w:rPr>
    </w:pPr>
    <w:r>
      <w:rPr>
        <w:rFonts w:hint="eastAsia"/>
      </w:rPr>
      <w:t xml:space="preserve">会议议程                   河南省人民医院药物（器械）临床试验伦理委员会          </w:t>
    </w:r>
    <w:r>
      <w:t>AF/SC-01/0</w:t>
    </w:r>
    <w:r>
      <w:rPr>
        <w:rFonts w:hint="eastAsia"/>
      </w:rPr>
      <w:t>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06D1"/>
    <w:rsid w:val="000027A5"/>
    <w:rsid w:val="000153D3"/>
    <w:rsid w:val="00021F1A"/>
    <w:rsid w:val="00027BC8"/>
    <w:rsid w:val="000F08B9"/>
    <w:rsid w:val="00142C6E"/>
    <w:rsid w:val="001444DF"/>
    <w:rsid w:val="001556ED"/>
    <w:rsid w:val="00181D4C"/>
    <w:rsid w:val="00186273"/>
    <w:rsid w:val="001A6342"/>
    <w:rsid w:val="001D0D5F"/>
    <w:rsid w:val="0023305A"/>
    <w:rsid w:val="002518DB"/>
    <w:rsid w:val="002A0C4A"/>
    <w:rsid w:val="002C14BF"/>
    <w:rsid w:val="002C4AB3"/>
    <w:rsid w:val="002E155C"/>
    <w:rsid w:val="002E32A7"/>
    <w:rsid w:val="00324182"/>
    <w:rsid w:val="00325BB3"/>
    <w:rsid w:val="00357DB2"/>
    <w:rsid w:val="00363F38"/>
    <w:rsid w:val="0038688C"/>
    <w:rsid w:val="003A4DB9"/>
    <w:rsid w:val="003A7217"/>
    <w:rsid w:val="003C1CA5"/>
    <w:rsid w:val="0043569A"/>
    <w:rsid w:val="00442F9A"/>
    <w:rsid w:val="00463010"/>
    <w:rsid w:val="00465705"/>
    <w:rsid w:val="004950F1"/>
    <w:rsid w:val="004D6E4E"/>
    <w:rsid w:val="005766A2"/>
    <w:rsid w:val="005D41B2"/>
    <w:rsid w:val="005F37F1"/>
    <w:rsid w:val="00610D9D"/>
    <w:rsid w:val="00614443"/>
    <w:rsid w:val="0063224D"/>
    <w:rsid w:val="00690A27"/>
    <w:rsid w:val="006A4E9C"/>
    <w:rsid w:val="006B06D1"/>
    <w:rsid w:val="006E42F4"/>
    <w:rsid w:val="006E7319"/>
    <w:rsid w:val="006F357E"/>
    <w:rsid w:val="00706EB7"/>
    <w:rsid w:val="008A7F92"/>
    <w:rsid w:val="00913C64"/>
    <w:rsid w:val="00917AAC"/>
    <w:rsid w:val="00926C4E"/>
    <w:rsid w:val="00975634"/>
    <w:rsid w:val="00976AD8"/>
    <w:rsid w:val="00981A2B"/>
    <w:rsid w:val="00A50986"/>
    <w:rsid w:val="00A86F6D"/>
    <w:rsid w:val="00A976E8"/>
    <w:rsid w:val="00B37FB7"/>
    <w:rsid w:val="00B82B50"/>
    <w:rsid w:val="00BE6179"/>
    <w:rsid w:val="00C30CA2"/>
    <w:rsid w:val="00CB2A68"/>
    <w:rsid w:val="00CB5DFE"/>
    <w:rsid w:val="00D93B23"/>
    <w:rsid w:val="00DC7B0E"/>
    <w:rsid w:val="00DE1245"/>
    <w:rsid w:val="00E24C8A"/>
    <w:rsid w:val="00E501A7"/>
    <w:rsid w:val="00EA3E88"/>
    <w:rsid w:val="00EB3140"/>
    <w:rsid w:val="00ED2AEC"/>
    <w:rsid w:val="00EE77D0"/>
    <w:rsid w:val="00F1246A"/>
    <w:rsid w:val="00F1388B"/>
    <w:rsid w:val="00F20D5A"/>
    <w:rsid w:val="00F25223"/>
    <w:rsid w:val="00F3132E"/>
    <w:rsid w:val="00F420AB"/>
    <w:rsid w:val="00F6451E"/>
    <w:rsid w:val="00FB5C01"/>
    <w:rsid w:val="00FB6459"/>
    <w:rsid w:val="00FD30B7"/>
    <w:rsid w:val="0164696F"/>
    <w:rsid w:val="04324D41"/>
    <w:rsid w:val="069E3612"/>
    <w:rsid w:val="06A776C0"/>
    <w:rsid w:val="06EA2255"/>
    <w:rsid w:val="0DE0621D"/>
    <w:rsid w:val="0E1D5A1E"/>
    <w:rsid w:val="106B07B6"/>
    <w:rsid w:val="10A50627"/>
    <w:rsid w:val="124F0137"/>
    <w:rsid w:val="18EA4882"/>
    <w:rsid w:val="23C62422"/>
    <w:rsid w:val="248912CE"/>
    <w:rsid w:val="270D11FD"/>
    <w:rsid w:val="2B60713A"/>
    <w:rsid w:val="2D531857"/>
    <w:rsid w:val="2DFC4861"/>
    <w:rsid w:val="301D2268"/>
    <w:rsid w:val="309C32A2"/>
    <w:rsid w:val="334E1DC9"/>
    <w:rsid w:val="367C1AB8"/>
    <w:rsid w:val="36ED2F34"/>
    <w:rsid w:val="38285655"/>
    <w:rsid w:val="39AB0132"/>
    <w:rsid w:val="3C15484E"/>
    <w:rsid w:val="3C9F6409"/>
    <w:rsid w:val="3CFB6132"/>
    <w:rsid w:val="3D732560"/>
    <w:rsid w:val="3F3B4917"/>
    <w:rsid w:val="42E0521B"/>
    <w:rsid w:val="455F5282"/>
    <w:rsid w:val="4A591D00"/>
    <w:rsid w:val="4AD839C4"/>
    <w:rsid w:val="4D436C16"/>
    <w:rsid w:val="4F286680"/>
    <w:rsid w:val="4FC060D8"/>
    <w:rsid w:val="50CA44FA"/>
    <w:rsid w:val="51FA1AA7"/>
    <w:rsid w:val="53B0443F"/>
    <w:rsid w:val="53D85AF6"/>
    <w:rsid w:val="56FF1864"/>
    <w:rsid w:val="58AC394A"/>
    <w:rsid w:val="5A61255E"/>
    <w:rsid w:val="5C0063AE"/>
    <w:rsid w:val="60136399"/>
    <w:rsid w:val="62530E38"/>
    <w:rsid w:val="62DC46A0"/>
    <w:rsid w:val="64894AE2"/>
    <w:rsid w:val="649F5845"/>
    <w:rsid w:val="66AA67B6"/>
    <w:rsid w:val="6EBB3998"/>
    <w:rsid w:val="711532C5"/>
    <w:rsid w:val="728D7D62"/>
    <w:rsid w:val="739152DE"/>
    <w:rsid w:val="748869DB"/>
    <w:rsid w:val="7A313286"/>
    <w:rsid w:val="7DED2522"/>
    <w:rsid w:val="7E825309"/>
    <w:rsid w:val="7E9C0F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jc w:val="center"/>
      <w:outlineLvl w:val="0"/>
    </w:pPr>
    <w:rPr>
      <w:b/>
      <w:bCs/>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qFormat/>
    <w:uiPriority w:val="0"/>
    <w:pPr>
      <w:jc w:val="left"/>
    </w:pPr>
  </w:style>
  <w:style w:type="paragraph" w:styleId="4">
    <w:name w:val="Plain Text"/>
    <w:basedOn w:val="1"/>
    <w:link w:val="20"/>
    <w:qFormat/>
    <w:uiPriority w:val="0"/>
    <w:pPr>
      <w:widowControl/>
      <w:jc w:val="left"/>
    </w:pPr>
    <w:rPr>
      <w:rFonts w:ascii="Courier New" w:hAnsi="Courier New"/>
      <w:kern w:val="0"/>
      <w:sz w:val="20"/>
      <w:szCs w:val="20"/>
      <w:lang w:eastAsia="en-US"/>
    </w:rPr>
  </w:style>
  <w:style w:type="paragraph" w:styleId="5">
    <w:name w:val="Date"/>
    <w:basedOn w:val="1"/>
    <w:next w:val="1"/>
    <w:link w:val="19"/>
    <w:qFormat/>
    <w:uiPriority w:val="0"/>
    <w:rPr>
      <w:rFonts w:ascii="宋体" w:hAnsi="Courier New"/>
      <w:szCs w:val="20"/>
    </w:rPr>
  </w:style>
  <w:style w:type="paragraph" w:styleId="6">
    <w:name w:val="Balloon Text"/>
    <w:basedOn w:val="1"/>
    <w:link w:val="24"/>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annotation subject"/>
    <w:basedOn w:val="3"/>
    <w:next w:val="3"/>
    <w:link w:val="23"/>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annotation reference"/>
    <w:basedOn w:val="13"/>
    <w:qFormat/>
    <w:uiPriority w:val="0"/>
    <w:rPr>
      <w:sz w:val="21"/>
      <w:szCs w:val="21"/>
    </w:rPr>
  </w:style>
  <w:style w:type="character" w:customStyle="1" w:styleId="16">
    <w:name w:val="页眉 Char"/>
    <w:basedOn w:val="13"/>
    <w:link w:val="8"/>
    <w:qFormat/>
    <w:uiPriority w:val="0"/>
    <w:rPr>
      <w:kern w:val="2"/>
      <w:sz w:val="18"/>
      <w:szCs w:val="18"/>
    </w:rPr>
  </w:style>
  <w:style w:type="character" w:customStyle="1" w:styleId="17">
    <w:name w:val="页脚 Char"/>
    <w:basedOn w:val="13"/>
    <w:link w:val="7"/>
    <w:qFormat/>
    <w:uiPriority w:val="0"/>
    <w:rPr>
      <w:kern w:val="2"/>
      <w:sz w:val="18"/>
      <w:szCs w:val="18"/>
    </w:rPr>
  </w:style>
  <w:style w:type="character" w:customStyle="1" w:styleId="18">
    <w:name w:val="标题 1 Char"/>
    <w:basedOn w:val="13"/>
    <w:link w:val="2"/>
    <w:qFormat/>
    <w:uiPriority w:val="0"/>
    <w:rPr>
      <w:b/>
      <w:bCs/>
      <w:kern w:val="2"/>
      <w:sz w:val="21"/>
      <w:szCs w:val="24"/>
    </w:rPr>
  </w:style>
  <w:style w:type="character" w:customStyle="1" w:styleId="19">
    <w:name w:val="日期 Char"/>
    <w:basedOn w:val="13"/>
    <w:link w:val="5"/>
    <w:qFormat/>
    <w:uiPriority w:val="0"/>
    <w:rPr>
      <w:rFonts w:ascii="宋体" w:hAnsi="Courier New"/>
      <w:kern w:val="2"/>
      <w:sz w:val="21"/>
    </w:rPr>
  </w:style>
  <w:style w:type="character" w:customStyle="1" w:styleId="20">
    <w:name w:val="纯文本 Char"/>
    <w:basedOn w:val="13"/>
    <w:link w:val="4"/>
    <w:qFormat/>
    <w:uiPriority w:val="0"/>
    <w:rPr>
      <w:rFonts w:ascii="Courier New" w:hAnsi="Courier New"/>
      <w:lang w:eastAsia="en-US"/>
    </w:rPr>
  </w:style>
  <w:style w:type="paragraph" w:styleId="21">
    <w:name w:val="List Paragraph"/>
    <w:basedOn w:val="1"/>
    <w:qFormat/>
    <w:uiPriority w:val="34"/>
    <w:pPr>
      <w:ind w:firstLine="420" w:firstLineChars="200"/>
    </w:pPr>
  </w:style>
  <w:style w:type="character" w:customStyle="1" w:styleId="22">
    <w:name w:val="批注文字 Char"/>
    <w:basedOn w:val="13"/>
    <w:link w:val="3"/>
    <w:qFormat/>
    <w:uiPriority w:val="0"/>
    <w:rPr>
      <w:kern w:val="2"/>
      <w:sz w:val="21"/>
      <w:szCs w:val="24"/>
    </w:rPr>
  </w:style>
  <w:style w:type="character" w:customStyle="1" w:styleId="23">
    <w:name w:val="批注主题 Char"/>
    <w:basedOn w:val="22"/>
    <w:link w:val="10"/>
    <w:qFormat/>
    <w:uiPriority w:val="0"/>
    <w:rPr>
      <w:b/>
      <w:bCs/>
    </w:rPr>
  </w:style>
  <w:style w:type="character" w:customStyle="1" w:styleId="24">
    <w:name w:val="批注框文本 Char"/>
    <w:basedOn w:val="13"/>
    <w:link w:val="6"/>
    <w:qFormat/>
    <w:uiPriority w:val="0"/>
    <w:rPr>
      <w:kern w:val="2"/>
      <w:sz w:val="18"/>
      <w:szCs w:val="18"/>
    </w:rPr>
  </w:style>
  <w:style w:type="paragraph" w:customStyle="1" w:styleId="25">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14</Pages>
  <Words>1522</Words>
  <Characters>8681</Characters>
  <Lines>72</Lines>
  <Paragraphs>20</Paragraphs>
  <TotalTime>1</TotalTime>
  <ScaleCrop>false</ScaleCrop>
  <LinksUpToDate>false</LinksUpToDate>
  <CharactersWithSpaces>10183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2019-05-31T11:15:00Z</dcterms:created>
  <dc:creator>秦艳</dc:creator>
  <cp:lastModifiedBy>桔子味儿</cp:lastModifiedBy>
  <dcterms:modified xsi:type="dcterms:W3CDTF">2020-04-09T09:51:10Z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